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5" w:rsidRPr="00570847" w:rsidRDefault="00797CDC">
      <w:pPr>
        <w:ind w:left="6917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Приказу Министерства финансов</w:t>
      </w:r>
      <w:r>
        <w:rPr>
          <w:sz w:val="18"/>
          <w:szCs w:val="18"/>
        </w:rPr>
        <w:br/>
        <w:t>Российской Федерации</w:t>
      </w:r>
      <w:r>
        <w:rPr>
          <w:sz w:val="18"/>
          <w:szCs w:val="18"/>
        </w:rPr>
        <w:br/>
        <w:t>от 02.07.2010 № 66н</w:t>
      </w:r>
    </w:p>
    <w:p w:rsidR="00401D85" w:rsidRDefault="00797CDC">
      <w:pPr>
        <w:spacing w:before="60"/>
        <w:ind w:left="6917"/>
        <w:rPr>
          <w:sz w:val="16"/>
          <w:szCs w:val="16"/>
        </w:rPr>
      </w:pPr>
      <w:r w:rsidRPr="00570847">
        <w:rPr>
          <w:sz w:val="16"/>
          <w:szCs w:val="16"/>
        </w:rPr>
        <w:t>(</w:t>
      </w:r>
      <w:r>
        <w:rPr>
          <w:sz w:val="16"/>
          <w:szCs w:val="16"/>
        </w:rPr>
        <w:t>в ред. Приказа Минфина РФ</w:t>
      </w:r>
      <w:r>
        <w:rPr>
          <w:sz w:val="16"/>
          <w:szCs w:val="16"/>
        </w:rPr>
        <w:br/>
        <w:t>от 05.10.2011 № 124н)</w:t>
      </w:r>
    </w:p>
    <w:p w:rsidR="00401D85" w:rsidRDefault="00797CDC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401D85" w:rsidRPr="00797CDC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797CD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797CD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E6BC4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401D85" w:rsidRPr="00797CDC" w:rsidRDefault="00797CDC">
            <w:pPr>
              <w:ind w:left="113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797CDC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Коды</w:t>
            </w:r>
          </w:p>
        </w:tc>
      </w:tr>
      <w:tr w:rsidR="00401D85" w:rsidRPr="00797CDC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0710001</w:t>
            </w:r>
          </w:p>
        </w:tc>
      </w:tr>
      <w:tr w:rsidR="00401D85" w:rsidRPr="00797CDC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2011</w:t>
            </w:r>
          </w:p>
        </w:tc>
      </w:tr>
      <w:tr w:rsidR="00401D85" w:rsidRPr="00797CDC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ООО «Энергосбыт Первомайский»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79241830</w:t>
            </w:r>
          </w:p>
        </w:tc>
      </w:tr>
      <w:tr w:rsidR="00401D85" w:rsidRPr="00797CD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6166055460</w:t>
            </w:r>
          </w:p>
        </w:tc>
      </w:tr>
      <w:tr w:rsidR="00401D85" w:rsidRPr="00797CDC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spacing w:before="60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Вид экономической</w:t>
            </w: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по</w:t>
            </w: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40.13.1</w:t>
            </w:r>
          </w:p>
        </w:tc>
      </w:tr>
      <w:tr w:rsidR="00401D85" w:rsidRPr="00797CDC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spacing w:before="60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E6BC4" w:rsidP="004E6BC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Общества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401D85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1D85" w:rsidRPr="00797CDC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E6BC4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с ограниченной ответственностью/Муниципальная собственность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spacing w:before="60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401D85" w:rsidRPr="00797CDC" w:rsidRDefault="004E6BC4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</w:p>
        </w:tc>
      </w:tr>
      <w:tr w:rsidR="00401D85" w:rsidRPr="00797CDC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 xml:space="preserve">Единица измерения: тыс. руб.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384</w:t>
            </w:r>
          </w:p>
        </w:tc>
      </w:tr>
    </w:tbl>
    <w:p w:rsidR="00401D85" w:rsidRDefault="00797CDC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</w:t>
      </w:r>
      <w:r w:rsidR="00A5175A">
        <w:rPr>
          <w:rFonts w:ascii="Arial" w:hAnsi="Arial" w:cs="Arial"/>
          <w:sz w:val="18"/>
          <w:szCs w:val="18"/>
        </w:rPr>
        <w:t>344029, 61 Ростовская область Ростов-на-Дону,</w:t>
      </w:r>
    </w:p>
    <w:p w:rsidR="00401D85" w:rsidRDefault="00401D85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p w:rsidR="00401D85" w:rsidRDefault="00A5175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Ул. Металлургическая, д. 102/2</w:t>
      </w:r>
    </w:p>
    <w:p w:rsidR="00401D85" w:rsidRDefault="00401D85">
      <w:pPr>
        <w:pBdr>
          <w:top w:val="single" w:sz="6" w:space="1" w:color="auto"/>
        </w:pBdr>
        <w:spacing w:after="360"/>
        <w:ind w:right="2268"/>
        <w:rPr>
          <w:rFonts w:ascii="Arial" w:hAnsi="Arial" w:cs="Arial"/>
          <w:sz w:val="2"/>
          <w:szCs w:val="2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3"/>
        <w:gridCol w:w="623"/>
        <w:gridCol w:w="425"/>
        <w:gridCol w:w="142"/>
        <w:gridCol w:w="425"/>
        <w:gridCol w:w="709"/>
        <w:gridCol w:w="294"/>
        <w:gridCol w:w="415"/>
        <w:gridCol w:w="709"/>
        <w:gridCol w:w="425"/>
        <w:gridCol w:w="425"/>
        <w:gridCol w:w="567"/>
      </w:tblGrid>
      <w:tr w:rsidR="00ED77B9" w:rsidRPr="00797CDC" w:rsidTr="00186D98">
        <w:trPr>
          <w:cantSplit/>
          <w:trHeight w:val="340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7B9" w:rsidRPr="00797CDC" w:rsidRDefault="00ED77B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77B9" w:rsidRPr="00797CDC" w:rsidRDefault="00ED77B9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7B9" w:rsidRPr="00797CDC" w:rsidRDefault="00ED77B9">
            <w:pPr>
              <w:ind w:right="57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ED77B9" w:rsidRPr="00797CDC" w:rsidRDefault="00ED77B9" w:rsidP="009D3EA1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D77B9" w:rsidRPr="00797CDC" w:rsidRDefault="00ED77B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31 декабря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7B9" w:rsidRPr="00797CDC" w:rsidRDefault="00ED77B9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 31 декабря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ED77B9" w:rsidRPr="00797CDC" w:rsidRDefault="00ED77B9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 31 декабря</w:t>
            </w:r>
          </w:p>
        </w:tc>
      </w:tr>
      <w:tr w:rsidR="009D3EA1" w:rsidRPr="00797CDC" w:rsidTr="00ED77B9">
        <w:trPr>
          <w:cantSplit/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 Narrow" w:eastAsiaTheme="minorEastAsia" w:hAnsi="Arial Narrow" w:cs="Arial Narrow"/>
              </w:rPr>
              <w:t>Поясне</w:t>
            </w:r>
            <w:r w:rsidR="00ED77B9">
              <w:rPr>
                <w:rFonts w:ascii="Arial Narrow" w:eastAsiaTheme="minorEastAsia" w:hAnsi="Arial Narrow" w:cs="Arial Narrow"/>
              </w:rPr>
              <w:t>-</w:t>
            </w:r>
            <w:r w:rsidRPr="00797CDC">
              <w:rPr>
                <w:rFonts w:ascii="Arial Narrow" w:eastAsiaTheme="minorEastAsia" w:hAnsi="Arial Narrow" w:cs="Arial Narrow"/>
              </w:rPr>
              <w:t>ния</w:t>
            </w:r>
            <w:r w:rsidRPr="00797CDC">
              <w:rPr>
                <w:rFonts w:ascii="Arial" w:eastAsiaTheme="minorEastAsia" w:hAnsi="Arial" w:cs="Arial"/>
              </w:rPr>
              <w:t xml:space="preserve"> 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 xml:space="preserve">Наименование показателя 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3EA1" w:rsidRPr="00797CDC" w:rsidRDefault="00ED77B9" w:rsidP="00ED77B9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Код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3EA1" w:rsidRPr="00797CDC" w:rsidRDefault="00ED77B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3EA1" w:rsidRPr="00797CDC" w:rsidRDefault="00ED77B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D3EA1" w:rsidRPr="00797CDC" w:rsidRDefault="00ED77B9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5</w:t>
            </w:r>
          </w:p>
        </w:tc>
      </w:tr>
      <w:tr w:rsidR="009D3EA1" w:rsidRPr="00797CDC" w:rsidTr="00ED77B9">
        <w:trPr>
          <w:cantSplit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EA1" w:rsidRPr="00797CDC" w:rsidRDefault="009D3EA1">
            <w:pPr>
              <w:jc w:val="center"/>
              <w:rPr>
                <w:rFonts w:ascii="Arial Narrow" w:eastAsiaTheme="minorEastAsia" w:hAnsi="Arial Narrow" w:cs="Arial Narrow"/>
                <w:sz w:val="14"/>
                <w:szCs w:val="1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EA1" w:rsidRPr="00797CDC" w:rsidRDefault="009D3EA1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9D3EA1" w:rsidRPr="00797CDC" w:rsidRDefault="009D3EA1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6" w:space="0" w:color="auto"/>
            </w:tcBorders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D3EA1" w:rsidRPr="00797CDC" w:rsidRDefault="009D3EA1">
            <w:pPr>
              <w:jc w:val="righ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D3EA1" w:rsidRPr="00797CDC" w:rsidRDefault="009D3EA1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6" w:space="0" w:color="auto"/>
            </w:tcBorders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</w:tr>
      <w:tr w:rsidR="009D3EA1" w:rsidRPr="00797CDC" w:rsidTr="00B9443C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АКТИВ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D3EA1" w:rsidRPr="00797CDC" w:rsidTr="00B9443C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spacing w:before="1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Нематериальные активы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Результаты исследований и разработок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1120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5200</w:t>
            </w: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Основные средства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1130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323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ED77B9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425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Доходные вложения в материальные ценности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1140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Финансовые вложения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1150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Отложенные налоговые активы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F232B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5240</w:t>
            </w: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Прочие внеоборотные активы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1170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4 444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Итого по разделу I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4 767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378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425</w:t>
            </w:r>
          </w:p>
        </w:tc>
      </w:tr>
      <w:tr w:rsidR="009D3EA1" w:rsidRPr="00797CDC" w:rsidTr="00B9443C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spacing w:before="1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II. ОБОРОТНЫЕ АКТИВЫ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3EA1" w:rsidRPr="00797CDC" w:rsidRDefault="009D3EA1" w:rsidP="00B9443C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Запасы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1210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221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1220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F232B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5510</w:t>
            </w: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Дебиторская задолженность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1230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44 041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24 968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14889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1240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Денежные средства и денежные эквиваленты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1250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4 541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980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Прочие оборотные активы</w:t>
            </w:r>
          </w:p>
        </w:tc>
        <w:tc>
          <w:tcPr>
            <w:tcW w:w="623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1260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Итого по разделу II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1200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44 601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29 611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16 091</w:t>
            </w:r>
          </w:p>
        </w:tc>
      </w:tr>
      <w:tr w:rsidR="009D3EA1" w:rsidRPr="00797CDC" w:rsidTr="00B9443C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3EA1" w:rsidRPr="00797CDC" w:rsidRDefault="009D3EA1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D3EA1" w:rsidRPr="00797CDC" w:rsidRDefault="009D3EA1">
            <w:pPr>
              <w:ind w:left="57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БАЛАНС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1600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49 368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29 989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3EA1" w:rsidRPr="00797CDC" w:rsidRDefault="00F232B8" w:rsidP="00B9443C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16 516</w:t>
            </w:r>
          </w:p>
        </w:tc>
      </w:tr>
    </w:tbl>
    <w:p w:rsidR="00401D85" w:rsidRDefault="00797CDC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36"/>
        <w:gridCol w:w="851"/>
        <w:gridCol w:w="164"/>
        <w:gridCol w:w="403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F0CBE" w:rsidRPr="00797CDC" w:rsidTr="000F0CBE">
        <w:trPr>
          <w:cantSplit/>
          <w:trHeight w:val="340"/>
        </w:trPr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CBE" w:rsidRPr="00797CDC" w:rsidRDefault="000F0CBE" w:rsidP="00C9032B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 Narrow" w:eastAsiaTheme="minorEastAsia" w:hAnsi="Arial Narrow" w:cs="Arial Narrow"/>
              </w:rPr>
              <w:t>Поясне</w:t>
            </w:r>
            <w:r>
              <w:rPr>
                <w:rFonts w:ascii="Arial Narrow" w:eastAsiaTheme="minorEastAsia" w:hAnsi="Arial Narrow" w:cs="Arial Narrow"/>
              </w:rPr>
              <w:t>-</w:t>
            </w:r>
            <w:r w:rsidRPr="00797CDC">
              <w:rPr>
                <w:rFonts w:ascii="Arial Narrow" w:eastAsiaTheme="minorEastAsia" w:hAnsi="Arial Narrow" w:cs="Arial Narrow"/>
              </w:rPr>
              <w:t>ния</w:t>
            </w:r>
            <w:r w:rsidRPr="00797CDC">
              <w:rPr>
                <w:rFonts w:ascii="Arial" w:eastAsiaTheme="minorEastAsia" w:hAnsi="Arial" w:cs="Arial"/>
              </w:rPr>
              <w:t xml:space="preserve"> 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F0CBE" w:rsidRPr="00797CDC" w:rsidRDefault="000F0CBE" w:rsidP="00AE44D7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 xml:space="preserve">Наименование показателя 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0F0CBE" w:rsidRDefault="000F0CBE">
            <w:pPr>
              <w:jc w:val="center"/>
              <w:rPr>
                <w:rFonts w:ascii="Arial" w:eastAsiaTheme="minorEastAsia" w:hAnsi="Arial" w:cs="Arial"/>
              </w:rPr>
            </w:pPr>
          </w:p>
          <w:p w:rsidR="00585CF8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Код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</w:t>
            </w:r>
            <w:r>
              <w:rPr>
                <w:rFonts w:ascii="Arial" w:eastAsiaTheme="minorEastAsia" w:hAnsi="Arial" w:cs="Arial"/>
              </w:rPr>
              <w:t xml:space="preserve">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jc w:val="center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На 31 декабря</w:t>
            </w:r>
          </w:p>
        </w:tc>
      </w:tr>
      <w:tr w:rsidR="000F0CBE" w:rsidRPr="00797CDC" w:rsidTr="000F0CBE">
        <w:trPr>
          <w:cantSplit/>
          <w:trHeight w:val="284"/>
        </w:trPr>
        <w:tc>
          <w:tcPr>
            <w:tcW w:w="7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0CBE" w:rsidRPr="00797CDC" w:rsidRDefault="000F0CB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0F0CBE" w:rsidRPr="00797CDC" w:rsidRDefault="000F0CBE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F0CBE" w:rsidRPr="00797CDC" w:rsidRDefault="000F0CBE">
            <w:pPr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0CBE" w:rsidRPr="00797CDC" w:rsidRDefault="000F0CBE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0CBE" w:rsidRPr="00797CDC" w:rsidRDefault="000F0CB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CBE" w:rsidRPr="00797CDC" w:rsidRDefault="000F0CBE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0CBE" w:rsidRPr="00797CDC" w:rsidRDefault="000F0CB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CBE" w:rsidRPr="00797CDC" w:rsidRDefault="000F0CBE">
            <w:pPr>
              <w:jc w:val="right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F0CBE" w:rsidRPr="00797CDC" w:rsidRDefault="000F0CBE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09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F0CBE" w:rsidRPr="00797CDC" w:rsidRDefault="000F0CBE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г.</w:t>
            </w:r>
            <w:r w:rsidRPr="00797CDC">
              <w:rPr>
                <w:rFonts w:ascii="Arial" w:eastAsiaTheme="minorEastAsia" w:hAnsi="Arial" w:cs="Arial"/>
                <w:vertAlign w:val="superscript"/>
              </w:rPr>
              <w:t>5</w:t>
            </w:r>
          </w:p>
        </w:tc>
      </w:tr>
      <w:tr w:rsidR="007A6ECD" w:rsidRPr="00797CDC" w:rsidTr="000F0CBE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ПАССИВ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6ECD" w:rsidRPr="00797CDC" w:rsidTr="000F0CBE"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spacing w:before="1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 xml:space="preserve">III. КАПИТАЛ И РЕЗЕРВЫ </w:t>
            </w:r>
            <w:r w:rsidRPr="00797CDC">
              <w:rPr>
                <w:rFonts w:ascii="Arial" w:eastAsiaTheme="minorEastAsia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7A6ECD" w:rsidRPr="00797CDC" w:rsidTr="000F0CBE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A6ECD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  <w:p w:rsidR="00585CF8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1310</w:t>
            </w: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1 005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1 005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1 000</w:t>
            </w:r>
          </w:p>
        </w:tc>
      </w:tr>
      <w:tr w:rsidR="007A6ECD" w:rsidRPr="00797CDC" w:rsidTr="000F0CBE">
        <w:trPr>
          <w:cantSplit/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Собственные акции, выкупленные у акционеров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585CF8" w:rsidRDefault="00585CF8">
            <w:pPr>
              <w:jc w:val="right"/>
              <w:rPr>
                <w:rFonts w:ascii="Arial" w:eastAsiaTheme="minorEastAsia" w:hAnsi="Arial" w:cs="Arial"/>
                <w:lang w:val="en-US"/>
              </w:rPr>
            </w:pPr>
          </w:p>
          <w:p w:rsidR="007A6ECD" w:rsidRPr="00585CF8" w:rsidRDefault="00585CF8" w:rsidP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1320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7A6ECD" w:rsidRPr="00797CDC" w:rsidRDefault="007A6ECD">
            <w:pPr>
              <w:jc w:val="right"/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)</w:t>
            </w:r>
            <w:r w:rsidRPr="00797CDC">
              <w:rPr>
                <w:rFonts w:ascii="Arial" w:eastAsiaTheme="minorEastAsia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6ECD" w:rsidRPr="00797CDC" w:rsidRDefault="007A6ECD">
            <w:pPr>
              <w:jc w:val="right"/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6ECD" w:rsidRPr="00797CDC" w:rsidRDefault="007A6ECD">
            <w:pPr>
              <w:jc w:val="right"/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A6ECD" w:rsidRPr="00797CDC" w:rsidRDefault="00585CF8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rPr>
                <w:rFonts w:ascii="Arial" w:eastAsiaTheme="minorEastAsia" w:hAnsi="Arial" w:cs="Arial"/>
                <w:lang w:val="en-US"/>
              </w:rPr>
            </w:pPr>
            <w:r w:rsidRPr="00797CDC">
              <w:rPr>
                <w:rFonts w:ascii="Arial" w:eastAsiaTheme="minorEastAsia" w:hAnsi="Arial" w:cs="Arial"/>
                <w:lang w:val="en-US"/>
              </w:rPr>
              <w:t>)</w:t>
            </w:r>
          </w:p>
        </w:tc>
      </w:tr>
      <w:tr w:rsidR="007A6ECD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Переоценка внеоборотных активов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7A6ECD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Добавочный капитал (без переоценки)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7A6ECD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Резервный капитал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1360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7A6ECD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Нераспределенная прибыль (непокрытый убыток)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1370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4439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3574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4869</w:t>
            </w:r>
          </w:p>
        </w:tc>
      </w:tr>
      <w:tr w:rsidR="007A6ECD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Итого по разделу III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1300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5444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4579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A6ECD" w:rsidRPr="00797CDC" w:rsidRDefault="00102E03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5869</w:t>
            </w:r>
          </w:p>
        </w:tc>
      </w:tr>
      <w:tr w:rsidR="007A6ECD" w:rsidRPr="00797CDC" w:rsidTr="00102E03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A6ECD" w:rsidRPr="00797CDC" w:rsidRDefault="007A6ECD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A6ECD" w:rsidRPr="00797CDC" w:rsidRDefault="007A6ECD">
            <w:pPr>
              <w:spacing w:before="1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A6ECD" w:rsidRPr="00797CDC" w:rsidRDefault="007A6ECD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6ECD" w:rsidRPr="00797CDC" w:rsidRDefault="007A6ECD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A6ECD" w:rsidRPr="00797CDC" w:rsidRDefault="007A6ECD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A6ECD" w:rsidRPr="00797CDC" w:rsidRDefault="007A6ECD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Заемные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1410</w:t>
            </w: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9 540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15 000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Отложенные налоговые обязательства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Оценочные обязательства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Прочие обязательства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9 540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15 000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Итого по разделу IV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2CEA" w:rsidRPr="00797CDC" w:rsidRDefault="00682CEA" w:rsidP="00574CF4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1400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82CEA" w:rsidRPr="00797CDC" w:rsidTr="00102E03"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spacing w:before="120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2CEA" w:rsidRPr="00797CDC" w:rsidRDefault="00682CEA" w:rsidP="00102E03">
            <w:pPr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Заемные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1510</w:t>
            </w: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4 180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Кредиторская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30 204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10 410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10 647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Доходы будущих периодов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Оценочные обязательства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Прочие обязательства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-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</w:rPr>
            </w:pPr>
            <w:r w:rsidRPr="00797CDC">
              <w:rPr>
                <w:rFonts w:ascii="Arial" w:eastAsiaTheme="minorEastAsia" w:hAnsi="Arial" w:cs="Arial"/>
              </w:rPr>
              <w:t>Итого по разделу V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34 384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10 410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10 647</w:t>
            </w:r>
          </w:p>
        </w:tc>
      </w:tr>
      <w:tr w:rsidR="00682CEA" w:rsidRPr="00797CDC" w:rsidTr="00102E03">
        <w:trPr>
          <w:trHeight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2CEA" w:rsidRPr="00797CDC" w:rsidRDefault="00682CEA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682CEA" w:rsidRPr="00797CDC" w:rsidRDefault="00682CEA">
            <w:pPr>
              <w:ind w:left="57"/>
              <w:rPr>
                <w:rFonts w:ascii="Arial" w:eastAsiaTheme="minorEastAsia" w:hAnsi="Arial" w:cs="Arial"/>
                <w:b/>
                <w:bCs/>
              </w:rPr>
            </w:pPr>
            <w:r w:rsidRPr="00797CDC">
              <w:rPr>
                <w:rFonts w:ascii="Arial" w:eastAsiaTheme="minorEastAsia" w:hAnsi="Arial" w:cs="Arial"/>
                <w:b/>
                <w:bCs/>
              </w:rPr>
              <w:t>БАЛАНС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1700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49 368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29 989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2CEA" w:rsidRPr="00797CDC" w:rsidRDefault="00EE439A" w:rsidP="00102E03">
            <w:pPr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16 516</w:t>
            </w:r>
          </w:p>
        </w:tc>
      </w:tr>
    </w:tbl>
    <w:p w:rsidR="00401D85" w:rsidRDefault="00401D85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5"/>
      </w:tblGrid>
      <w:tr w:rsidR="00401D85" w:rsidRPr="00797CD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ind w:left="170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Главный</w:t>
            </w: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01D85" w:rsidRPr="00797CDC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797CDC">
              <w:rPr>
                <w:rFonts w:ascii="Arial" w:eastAsiaTheme="minorEastAsia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797CDC">
              <w:rPr>
                <w:rFonts w:ascii="Arial" w:eastAsiaTheme="minorEastAsia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401D85" w:rsidRPr="00797CDC" w:rsidRDefault="00401D85">
            <w:pPr>
              <w:jc w:val="right"/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797CDC">
              <w:rPr>
                <w:rFonts w:ascii="Arial" w:eastAsiaTheme="minorEastAsia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D85" w:rsidRPr="00797CDC" w:rsidRDefault="00797CDC">
            <w:pPr>
              <w:jc w:val="center"/>
              <w:rPr>
                <w:rFonts w:ascii="Arial" w:eastAsiaTheme="minorEastAsia" w:hAnsi="Arial" w:cs="Arial"/>
                <w:sz w:val="14"/>
                <w:szCs w:val="14"/>
              </w:rPr>
            </w:pPr>
            <w:r w:rsidRPr="00797CDC">
              <w:rPr>
                <w:rFonts w:ascii="Arial" w:eastAsiaTheme="minorEastAsia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401D85" w:rsidRDefault="00401D8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01D85" w:rsidRPr="00797CD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1D85" w:rsidRPr="00797CDC" w:rsidRDefault="00401D85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D85" w:rsidRPr="00797CDC" w:rsidRDefault="00797CDC">
            <w:pPr>
              <w:ind w:left="57"/>
              <w:rPr>
                <w:rFonts w:ascii="Arial" w:eastAsiaTheme="minorEastAsia" w:hAnsi="Arial" w:cs="Arial"/>
                <w:sz w:val="18"/>
                <w:szCs w:val="18"/>
              </w:rPr>
            </w:pPr>
            <w:r w:rsidRPr="00797CDC">
              <w:rPr>
                <w:rFonts w:ascii="Arial" w:eastAsiaTheme="minorEastAsia" w:hAnsi="Arial" w:cs="Arial"/>
                <w:sz w:val="18"/>
                <w:szCs w:val="18"/>
              </w:rPr>
              <w:t>г.</w:t>
            </w:r>
          </w:p>
        </w:tc>
      </w:tr>
    </w:tbl>
    <w:p w:rsidR="00401D85" w:rsidRDefault="00797CDC">
      <w:pPr>
        <w:spacing w:before="360"/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Примечания</w:t>
      </w:r>
    </w:p>
    <w:p w:rsidR="00401D85" w:rsidRDefault="00797CDC">
      <w:pPr>
        <w:ind w:firstLine="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 Указывается номер соответствующего пояснения к бухгалтерскому балансу и отчету о прибылях и убытках.</w:t>
      </w:r>
    </w:p>
    <w:p w:rsidR="00401D85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401D85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3. Указывается отчетная дата отчетного периода.</w:t>
      </w:r>
    </w:p>
    <w:p w:rsidR="00401D85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 Указывается предыдущий год.</w:t>
      </w:r>
    </w:p>
    <w:p w:rsidR="00401D85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5. Указывается год, предшествующий предыдущему.</w:t>
      </w:r>
    </w:p>
    <w:p w:rsidR="00401D85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:rsidR="00797CDC" w:rsidRDefault="00797CDC">
      <w:pPr>
        <w:ind w:firstLine="56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7. Здесь и в других формах отчетов вычитаемый или отрицательный показатель показывается в круглых скобках.</w:t>
      </w:r>
    </w:p>
    <w:sectPr w:rsidR="00797CDC" w:rsidSect="00401D85">
      <w:headerReference w:type="default" r:id="rId6"/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7B" w:rsidRDefault="00473C7B">
      <w:r>
        <w:separator/>
      </w:r>
    </w:p>
  </w:endnote>
  <w:endnote w:type="continuationSeparator" w:id="1">
    <w:p w:rsidR="00473C7B" w:rsidRDefault="0047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7B" w:rsidRDefault="00473C7B">
      <w:r>
        <w:separator/>
      </w:r>
    </w:p>
  </w:footnote>
  <w:footnote w:type="continuationSeparator" w:id="1">
    <w:p w:rsidR="00473C7B" w:rsidRDefault="00473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85" w:rsidRDefault="00401D85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BB"/>
    <w:rsid w:val="000F0CBE"/>
    <w:rsid w:val="00102E03"/>
    <w:rsid w:val="001E61BB"/>
    <w:rsid w:val="00401D85"/>
    <w:rsid w:val="00473C7B"/>
    <w:rsid w:val="004E6BC4"/>
    <w:rsid w:val="00570847"/>
    <w:rsid w:val="00585CF8"/>
    <w:rsid w:val="00682CEA"/>
    <w:rsid w:val="00797CDC"/>
    <w:rsid w:val="007A6ECD"/>
    <w:rsid w:val="00943EF8"/>
    <w:rsid w:val="009D3EA1"/>
    <w:rsid w:val="00A5175A"/>
    <w:rsid w:val="00B9443C"/>
    <w:rsid w:val="00E900E3"/>
    <w:rsid w:val="00ED77B9"/>
    <w:rsid w:val="00EE439A"/>
    <w:rsid w:val="00EF7F10"/>
    <w:rsid w:val="00F2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5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01D8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01D85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endnote text"/>
    <w:basedOn w:val="a"/>
    <w:link w:val="a4"/>
    <w:uiPriority w:val="99"/>
    <w:rsid w:val="00401D85"/>
  </w:style>
  <w:style w:type="character" w:customStyle="1" w:styleId="a4">
    <w:name w:val="Текст концевой сноски Знак"/>
    <w:basedOn w:val="a0"/>
    <w:link w:val="a3"/>
    <w:uiPriority w:val="99"/>
    <w:semiHidden/>
    <w:rsid w:val="00401D85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401D85"/>
    <w:rPr>
      <w:vertAlign w:val="superscript"/>
    </w:rPr>
  </w:style>
  <w:style w:type="paragraph" w:styleId="a6">
    <w:name w:val="header"/>
    <w:basedOn w:val="a"/>
    <w:link w:val="a7"/>
    <w:uiPriority w:val="99"/>
    <w:rsid w:val="00401D8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1D8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401D8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D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673</Words>
  <Characters>3842</Characters>
  <Application>Microsoft Office Word</Application>
  <DocSecurity>0</DocSecurity>
  <Lines>32</Lines>
  <Paragraphs>9</Paragraphs>
  <ScaleCrop>false</ScaleCrop>
  <Company>КонсультантПлюс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Вологдина</cp:lastModifiedBy>
  <cp:revision>18</cp:revision>
  <cp:lastPrinted>2011-05-05T11:27:00Z</cp:lastPrinted>
  <dcterms:created xsi:type="dcterms:W3CDTF">2012-05-25T09:41:00Z</dcterms:created>
  <dcterms:modified xsi:type="dcterms:W3CDTF">2012-05-25T10:29:00Z</dcterms:modified>
</cp:coreProperties>
</file>